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0"/>
        <w:gridCol w:w="9433"/>
      </w:tblGrid>
      <w:tr w:rsidR="00997BEF" w:rsidTr="007F1B02">
        <w:tblPrEx>
          <w:tblCellMar>
            <w:top w:w="0" w:type="dxa"/>
            <w:bottom w:w="0" w:type="dxa"/>
          </w:tblCellMar>
        </w:tblPrEx>
        <w:tc>
          <w:tcPr>
            <w:tcW w:w="900" w:type="dxa"/>
            <w:tcBorders>
              <w:top w:val="single" w:sz="12" w:space="0" w:color="2E75B6"/>
              <w:left w:val="single" w:sz="12" w:space="0" w:color="2E75B6"/>
              <w:bottom w:val="single" w:sz="12" w:space="0" w:color="2E75B6"/>
              <w:right w:val="single" w:sz="12" w:space="0" w:color="2E75B6"/>
            </w:tcBorders>
            <w:shd w:val="clear" w:color="auto" w:fill="2E75B6"/>
            <w:tcMar>
              <w:top w:w="100" w:type="dxa"/>
              <w:left w:w="80" w:type="dxa"/>
              <w:bottom w:w="100" w:type="dxa"/>
              <w:right w:w="80" w:type="dxa"/>
            </w:tcMar>
            <w:vAlign w:val="center"/>
          </w:tcPr>
          <w:p w:rsidR="00997BEF" w:rsidRDefault="007F1B02">
            <w:pPr>
              <w:jc w:val="center"/>
            </w:pPr>
            <w:r>
              <w:rPr>
                <w:b/>
                <w:bCs/>
                <w:color w:val="FFFFFF"/>
                <w:sz w:val="36"/>
                <w:szCs w:val="36"/>
              </w:rPr>
              <w:t>6</w:t>
            </w:r>
          </w:p>
          <w:p w:rsidR="00997BEF" w:rsidRDefault="00643401">
            <w:pPr>
              <w:jc w:val="center"/>
            </w:pPr>
            <w:r>
              <w:rPr>
                <w:rFonts w:ascii="Segoe UI Emoji" w:eastAsia="Segoe UI Emoji" w:hAnsi="Segoe UI Emoji" w:cs="Segoe UI Emoji"/>
                <w:sz w:val="28"/>
                <w:szCs w:val="28"/>
              </w:rPr>
              <w:t>🌿</w:t>
            </w:r>
          </w:p>
        </w:tc>
        <w:tc>
          <w:tcPr>
            <w:tcW w:w="9433" w:type="dxa"/>
            <w:tcBorders>
              <w:top w:val="single" w:sz="12" w:space="0" w:color="2E75B6"/>
              <w:left w:val="single" w:sz="12" w:space="0" w:color="2E75B6"/>
              <w:bottom w:val="single" w:sz="12" w:space="0" w:color="2E75B6"/>
              <w:right w:val="single" w:sz="12" w:space="0" w:color="2E75B6"/>
            </w:tcBorders>
            <w:shd w:val="clear" w:color="auto" w:fill="1F3864"/>
            <w:tcMar>
              <w:top w:w="120" w:type="dxa"/>
              <w:left w:w="200" w:type="dxa"/>
              <w:bottom w:w="120" w:type="dxa"/>
              <w:right w:w="120" w:type="dxa"/>
            </w:tcMar>
            <w:vAlign w:val="center"/>
          </w:tcPr>
          <w:p w:rsidR="00997BEF" w:rsidRDefault="00643401">
            <w:r>
              <w:rPr>
                <w:b/>
                <w:bCs/>
                <w:color w:val="FFFFFF"/>
                <w:sz w:val="32"/>
                <w:szCs w:val="32"/>
              </w:rPr>
              <w:t>FAUNE ET FLORE DES BORDS DU RHÔNE</w:t>
            </w:r>
          </w:p>
          <w:p w:rsidR="00997BEF" w:rsidRDefault="00643401">
            <w:r>
              <w:rPr>
                <w:i/>
                <w:iCs/>
                <w:color w:val="BDD7EE"/>
                <w:sz w:val="20"/>
                <w:szCs w:val="20"/>
              </w:rPr>
              <w:t>Quai Albert de Luynes – Pont-Saint-Esprit (30130)</w:t>
            </w:r>
          </w:p>
        </w:tc>
      </w:tr>
    </w:tbl>
    <w:p w:rsidR="00997BEF" w:rsidRDefault="00997BEF">
      <w:pPr>
        <w:spacing w:before="120"/>
      </w:pPr>
    </w:p>
    <w:tbl>
      <w:tblPr>
        <w:tblW w:w="11058" w:type="dxa"/>
        <w:tblInd w:w="-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1058"/>
      </w:tblGrid>
      <w:tr w:rsidR="00997BEF" w:rsidTr="007F1B02">
        <w:tblPrEx>
          <w:tblCellMar>
            <w:top w:w="0" w:type="dxa"/>
            <w:bottom w:w="0" w:type="dxa"/>
          </w:tblCellMar>
        </w:tblPrEx>
        <w:tc>
          <w:tcPr>
            <w:tcW w:w="11058" w:type="dxa"/>
            <w:tcBorders>
              <w:top w:val="single" w:sz="8" w:space="0" w:color="2E75B6"/>
              <w:left w:val="single" w:sz="8" w:space="0" w:color="2E75B6"/>
              <w:bottom w:val="single" w:sz="8" w:space="0" w:color="2E75B6"/>
              <w:right w:val="single" w:sz="8" w:space="0" w:color="2E75B6"/>
            </w:tcBorders>
            <w:shd w:val="clear" w:color="auto" w:fill="D5E8F0"/>
            <w:tcMar>
              <w:top w:w="100" w:type="dxa"/>
              <w:left w:w="160" w:type="dxa"/>
              <w:bottom w:w="100" w:type="dxa"/>
              <w:right w:w="160" w:type="dxa"/>
            </w:tcMar>
          </w:tcPr>
          <w:p w:rsidR="00997BEF" w:rsidRPr="007F1B02" w:rsidRDefault="00643401">
            <w:pPr>
              <w:spacing w:before="40" w:after="80"/>
              <w:rPr>
                <w:sz w:val="20"/>
              </w:rPr>
            </w:pPr>
            <w:r w:rsidRPr="007F1B02">
              <w:rPr>
                <w:b/>
                <w:bCs/>
                <w:color w:val="2E75B6"/>
                <w:szCs w:val="24"/>
              </w:rPr>
              <w:t>Qu'est-ce que la ripisylve ?</w:t>
            </w:r>
          </w:p>
          <w:p w:rsidR="00997BEF" w:rsidRDefault="00643401">
            <w:pPr>
              <w:spacing w:before="60" w:after="60"/>
            </w:pPr>
            <w:r w:rsidRPr="007F1B02">
              <w:rPr>
                <w:sz w:val="20"/>
              </w:rPr>
              <w:t xml:space="preserve">La </w:t>
            </w:r>
            <w:r w:rsidRPr="007F1B02">
              <w:rPr>
                <w:b/>
                <w:bCs/>
                <w:sz w:val="20"/>
              </w:rPr>
              <w:t>ripisylve</w:t>
            </w:r>
            <w:r w:rsidRPr="007F1B02">
              <w:rPr>
                <w:sz w:val="20"/>
              </w:rPr>
              <w:t xml:space="preserve"> est l'ensemble des végétaux (arbres, arbustes, plantes herbacées) qui poussent en bordure du Rhône. Cette bande végétale, parfois appelée </w:t>
            </w:r>
            <w:r w:rsidRPr="007F1B02">
              <w:rPr>
                <w:i/>
                <w:iCs/>
                <w:sz w:val="20"/>
              </w:rPr>
              <w:t>"forêt galerie"</w:t>
            </w:r>
            <w:r w:rsidRPr="007F1B02">
              <w:rPr>
                <w:sz w:val="20"/>
              </w:rPr>
              <w:t xml:space="preserve">, abrite une biodiversité exceptionnelle et joue un rôle crucial dans la </w:t>
            </w:r>
            <w:r w:rsidRPr="007F1B02">
              <w:rPr>
                <w:b/>
                <w:bCs/>
                <w:sz w:val="20"/>
              </w:rPr>
              <w:t>protection contre les inondat</w:t>
            </w:r>
            <w:r w:rsidRPr="007F1B02">
              <w:rPr>
                <w:b/>
                <w:bCs/>
                <w:sz w:val="20"/>
              </w:rPr>
              <w:t>ions</w:t>
            </w:r>
            <w:r w:rsidRPr="007F1B02">
              <w:rPr>
                <w:sz w:val="20"/>
              </w:rPr>
              <w:t xml:space="preserve"> en retenant les berges et en ralentissant les crues.</w:t>
            </w:r>
          </w:p>
        </w:tc>
      </w:tr>
    </w:tbl>
    <w:p w:rsidR="00997BEF" w:rsidRDefault="00643401">
      <w:pPr>
        <w:spacing w:before="60" w:after="100"/>
      </w:pPr>
      <w:r>
        <w:rPr>
          <w:b/>
          <w:bCs/>
          <w:color w:val="2E75B6"/>
          <w:sz w:val="24"/>
          <w:szCs w:val="24"/>
        </w:rPr>
        <w:t>Espèces typiques observables à Pont-Saint-Esprit</w:t>
      </w:r>
    </w:p>
    <w:tbl>
      <w:tblPr>
        <w:tblW w:w="10915" w:type="dxa"/>
        <w:tblInd w:w="-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73"/>
        <w:gridCol w:w="1321"/>
        <w:gridCol w:w="3098"/>
        <w:gridCol w:w="931"/>
        <w:gridCol w:w="1201"/>
        <w:gridCol w:w="3391"/>
      </w:tblGrid>
      <w:tr w:rsidR="007F1B02" w:rsidRPr="007F1B02" w:rsidTr="007F1B02">
        <w:tblPrEx>
          <w:tblCellMar>
            <w:top w:w="0" w:type="dxa"/>
            <w:bottom w:w="0" w:type="dxa"/>
          </w:tblCellMar>
        </w:tblPrEx>
        <w:tc>
          <w:tcPr>
            <w:tcW w:w="599" w:type="dxa"/>
            <w:tcBorders>
              <w:top w:val="single" w:sz="10" w:space="0" w:color="2E75B6"/>
              <w:left w:val="single" w:sz="10" w:space="0" w:color="2E75B6"/>
              <w:bottom w:val="single" w:sz="10" w:space="0" w:color="2E75B6"/>
              <w:right w:val="single" w:sz="10" w:space="0" w:color="2E75B6"/>
            </w:tcBorders>
            <w:shd w:val="clear" w:color="auto" w:fill="2E75B6"/>
            <w:tcMar>
              <w:top w:w="80" w:type="dxa"/>
              <w:left w:w="120" w:type="dxa"/>
              <w:bottom w:w="80" w:type="dxa"/>
              <w:right w:w="80" w:type="dxa"/>
            </w:tcMar>
          </w:tcPr>
          <w:p w:rsidR="007F1B02" w:rsidRPr="007F1B02" w:rsidRDefault="007F1B02" w:rsidP="007F1B02">
            <w:pPr>
              <w:rPr>
                <w:sz w:val="18"/>
              </w:rPr>
            </w:pPr>
            <w:r w:rsidRPr="007F1B02">
              <w:rPr>
                <w:b/>
                <w:bCs/>
                <w:color w:val="FFFFFF"/>
                <w:sz w:val="18"/>
                <w:szCs w:val="21"/>
              </w:rPr>
              <w:t>Espèce</w:t>
            </w:r>
          </w:p>
        </w:tc>
        <w:tc>
          <w:tcPr>
            <w:tcW w:w="0" w:type="auto"/>
            <w:tcBorders>
              <w:top w:val="single" w:sz="10" w:space="0" w:color="2E75B6"/>
              <w:left w:val="single" w:sz="10" w:space="0" w:color="2E75B6"/>
              <w:bottom w:val="single" w:sz="10" w:space="0" w:color="2E75B6"/>
              <w:right w:val="single" w:sz="10" w:space="0" w:color="2E75B6"/>
            </w:tcBorders>
            <w:shd w:val="clear" w:color="auto" w:fill="2E75B6"/>
            <w:tcMar>
              <w:top w:w="80" w:type="dxa"/>
              <w:left w:w="120" w:type="dxa"/>
              <w:bottom w:w="80" w:type="dxa"/>
              <w:right w:w="80" w:type="dxa"/>
            </w:tcMar>
          </w:tcPr>
          <w:p w:rsidR="007F1B02" w:rsidRPr="007F1B02" w:rsidRDefault="007F1B02" w:rsidP="007F1B02">
            <w:pPr>
              <w:rPr>
                <w:sz w:val="18"/>
              </w:rPr>
            </w:pPr>
            <w:r w:rsidRPr="007F1B02">
              <w:rPr>
                <w:b/>
                <w:bCs/>
                <w:color w:val="FFFFFF"/>
                <w:sz w:val="18"/>
                <w:szCs w:val="21"/>
              </w:rPr>
              <w:t>Habitat</w:t>
            </w:r>
          </w:p>
        </w:tc>
        <w:tc>
          <w:tcPr>
            <w:tcW w:w="3193" w:type="dxa"/>
            <w:tcBorders>
              <w:top w:val="single" w:sz="10" w:space="0" w:color="2E75B6"/>
              <w:left w:val="single" w:sz="10" w:space="0" w:color="2E75B6"/>
              <w:bottom w:val="single" w:sz="10" w:space="0" w:color="2E75B6"/>
              <w:right w:val="single" w:sz="10" w:space="0" w:color="2E75B6"/>
            </w:tcBorders>
            <w:shd w:val="clear" w:color="auto" w:fill="2E75B6"/>
            <w:tcMar>
              <w:top w:w="80" w:type="dxa"/>
              <w:left w:w="120" w:type="dxa"/>
              <w:bottom w:w="80" w:type="dxa"/>
              <w:right w:w="80" w:type="dxa"/>
            </w:tcMar>
          </w:tcPr>
          <w:p w:rsidR="007F1B02" w:rsidRPr="007F1B02" w:rsidRDefault="007F1B02" w:rsidP="007F1B02">
            <w:pPr>
              <w:rPr>
                <w:sz w:val="18"/>
              </w:rPr>
            </w:pPr>
            <w:r w:rsidRPr="007F1B02">
              <w:rPr>
                <w:b/>
                <w:bCs/>
                <w:color w:val="FFFFFF"/>
                <w:sz w:val="18"/>
                <w:szCs w:val="21"/>
              </w:rPr>
              <w:t>Rôle écologique / Indicateur</w:t>
            </w:r>
          </w:p>
        </w:tc>
        <w:tc>
          <w:tcPr>
            <w:tcW w:w="931" w:type="dxa"/>
            <w:tcBorders>
              <w:top w:val="single" w:sz="10" w:space="0" w:color="2E75B6"/>
              <w:left w:val="single" w:sz="10" w:space="0" w:color="2E75B6"/>
              <w:bottom w:val="single" w:sz="10" w:space="0" w:color="2E75B6"/>
              <w:right w:val="single" w:sz="10" w:space="0" w:color="2E75B6"/>
            </w:tcBorders>
            <w:shd w:val="clear" w:color="auto" w:fill="2E75B6"/>
          </w:tcPr>
          <w:p w:rsidR="007F1B02" w:rsidRPr="007F1B02" w:rsidRDefault="007F1B02" w:rsidP="007F1B02">
            <w:pPr>
              <w:rPr>
                <w:sz w:val="18"/>
              </w:rPr>
            </w:pPr>
            <w:r w:rsidRPr="007F1B02">
              <w:rPr>
                <w:b/>
                <w:bCs/>
                <w:color w:val="FFFFFF"/>
                <w:sz w:val="18"/>
                <w:szCs w:val="21"/>
              </w:rPr>
              <w:t>Espèce</w:t>
            </w:r>
          </w:p>
        </w:tc>
        <w:tc>
          <w:tcPr>
            <w:tcW w:w="0" w:type="auto"/>
            <w:tcBorders>
              <w:top w:val="single" w:sz="10" w:space="0" w:color="2E75B6"/>
              <w:left w:val="single" w:sz="10" w:space="0" w:color="2E75B6"/>
              <w:bottom w:val="single" w:sz="10" w:space="0" w:color="2E75B6"/>
              <w:right w:val="single" w:sz="10" w:space="0" w:color="2E75B6"/>
            </w:tcBorders>
            <w:shd w:val="clear" w:color="auto" w:fill="2E75B6"/>
          </w:tcPr>
          <w:p w:rsidR="007F1B02" w:rsidRPr="007F1B02" w:rsidRDefault="007F1B02" w:rsidP="007F1B02">
            <w:pPr>
              <w:rPr>
                <w:sz w:val="18"/>
              </w:rPr>
            </w:pPr>
            <w:r w:rsidRPr="007F1B02">
              <w:rPr>
                <w:b/>
                <w:bCs/>
                <w:color w:val="FFFFFF"/>
                <w:sz w:val="18"/>
                <w:szCs w:val="21"/>
              </w:rPr>
              <w:t>Habitat</w:t>
            </w:r>
          </w:p>
        </w:tc>
        <w:tc>
          <w:tcPr>
            <w:tcW w:w="3497" w:type="dxa"/>
            <w:tcBorders>
              <w:top w:val="single" w:sz="10" w:space="0" w:color="2E75B6"/>
              <w:left w:val="single" w:sz="10" w:space="0" w:color="2E75B6"/>
              <w:bottom w:val="single" w:sz="10" w:space="0" w:color="2E75B6"/>
              <w:right w:val="single" w:sz="10" w:space="0" w:color="2E75B6"/>
            </w:tcBorders>
            <w:shd w:val="clear" w:color="auto" w:fill="2E75B6"/>
          </w:tcPr>
          <w:p w:rsidR="007F1B02" w:rsidRPr="007F1B02" w:rsidRDefault="007F1B02" w:rsidP="007F1B02">
            <w:pPr>
              <w:rPr>
                <w:sz w:val="18"/>
              </w:rPr>
            </w:pPr>
            <w:r w:rsidRPr="007F1B02">
              <w:rPr>
                <w:b/>
                <w:bCs/>
                <w:color w:val="FFFFFF"/>
                <w:sz w:val="18"/>
                <w:szCs w:val="21"/>
              </w:rPr>
              <w:t>Rôle écologique / Indicateur</w:t>
            </w:r>
          </w:p>
        </w:tc>
      </w:tr>
      <w:tr w:rsidR="007F1B02" w:rsidRPr="007F1B02" w:rsidTr="007F1B02">
        <w:tblPrEx>
          <w:tblCellMar>
            <w:top w:w="0" w:type="dxa"/>
            <w:bottom w:w="0" w:type="dxa"/>
          </w:tblCellMar>
        </w:tblPrEx>
        <w:tc>
          <w:tcPr>
            <w:tcW w:w="5215" w:type="dxa"/>
            <w:gridSpan w:val="3"/>
            <w:tcBorders>
              <w:top w:val="single" w:sz="8" w:space="0" w:color="538135"/>
              <w:left w:val="single" w:sz="8" w:space="0" w:color="538135"/>
              <w:bottom w:val="single" w:sz="8" w:space="0" w:color="538135"/>
              <w:right w:val="single" w:sz="8" w:space="0" w:color="538135"/>
            </w:tcBorders>
            <w:shd w:val="clear" w:color="auto" w:fill="E2EFDA"/>
            <w:tcMar>
              <w:top w:w="60" w:type="dxa"/>
              <w:left w:w="120" w:type="dxa"/>
              <w:bottom w:w="60" w:type="dxa"/>
              <w:right w:w="80" w:type="dxa"/>
            </w:tcMar>
          </w:tcPr>
          <w:p w:rsidR="007F1B02" w:rsidRPr="007F1B02" w:rsidRDefault="007F1B02">
            <w:pPr>
              <w:rPr>
                <w:sz w:val="18"/>
              </w:rPr>
            </w:pPr>
            <w:r w:rsidRPr="007F1B02">
              <w:rPr>
                <w:b/>
                <w:bCs/>
                <w:color w:val="375623"/>
                <w:sz w:val="18"/>
              </w:rPr>
              <w:t>FAUNE (animaux)</w:t>
            </w:r>
          </w:p>
        </w:tc>
        <w:tc>
          <w:tcPr>
            <w:tcW w:w="5700" w:type="dxa"/>
            <w:gridSpan w:val="3"/>
            <w:tcBorders>
              <w:top w:val="single" w:sz="8" w:space="0" w:color="538135"/>
              <w:left w:val="single" w:sz="8" w:space="0" w:color="538135"/>
              <w:bottom w:val="single" w:sz="8" w:space="0" w:color="538135"/>
              <w:right w:val="single" w:sz="8" w:space="0" w:color="538135"/>
            </w:tcBorders>
            <w:shd w:val="clear" w:color="auto" w:fill="E2EFDA"/>
          </w:tcPr>
          <w:p w:rsidR="007F1B02" w:rsidRPr="007F1B02" w:rsidRDefault="007F1B02">
            <w:pPr>
              <w:rPr>
                <w:b/>
                <w:bCs/>
                <w:color w:val="375623"/>
                <w:sz w:val="18"/>
              </w:rPr>
            </w:pPr>
            <w:r w:rsidRPr="007F1B02">
              <w:rPr>
                <w:b/>
                <w:bCs/>
                <w:color w:val="375623"/>
                <w:sz w:val="18"/>
              </w:rPr>
              <w:t>FLORE (végétaux)</w:t>
            </w:r>
          </w:p>
        </w:tc>
      </w:tr>
      <w:tr w:rsidR="007F1B02" w:rsidRPr="007F1B02" w:rsidTr="007F1B02">
        <w:tblPrEx>
          <w:tblCellMar>
            <w:top w:w="0" w:type="dxa"/>
            <w:bottom w:w="0" w:type="dxa"/>
          </w:tblCellMar>
        </w:tblPrEx>
        <w:tc>
          <w:tcPr>
            <w:tcW w:w="599" w:type="dxa"/>
            <w:tcBorders>
              <w:top w:val="single" w:sz="6" w:space="0" w:color="B8CCE4"/>
              <w:left w:val="single" w:sz="6" w:space="0" w:color="B8CCE4"/>
              <w:bottom w:val="single" w:sz="6" w:space="0" w:color="B8CCE4"/>
              <w:right w:val="single" w:sz="6" w:space="0" w:color="B8CCE4"/>
            </w:tcBorders>
            <w:shd w:val="clear" w:color="auto" w:fill="D5E8F0"/>
            <w:tcMar>
              <w:top w:w="80" w:type="dxa"/>
              <w:left w:w="120" w:type="dxa"/>
              <w:bottom w:w="80" w:type="dxa"/>
              <w:right w:w="80" w:type="dxa"/>
            </w:tcMar>
          </w:tcPr>
          <w:p w:rsidR="007F1B02" w:rsidRPr="007F1B02" w:rsidRDefault="007F1B02" w:rsidP="007F1B02">
            <w:pPr>
              <w:rPr>
                <w:sz w:val="18"/>
              </w:rPr>
            </w:pPr>
            <w:r w:rsidRPr="007F1B02">
              <w:rPr>
                <w:b/>
                <w:bCs/>
                <w:color w:val="1F3864"/>
                <w:sz w:val="18"/>
                <w:szCs w:val="21"/>
              </w:rPr>
              <w:t>Castor d'Europe</w:t>
            </w:r>
          </w:p>
          <w:p w:rsidR="007F1B02" w:rsidRPr="007F1B02" w:rsidRDefault="007F1B02" w:rsidP="007F1B02">
            <w:pPr>
              <w:rPr>
                <w:sz w:val="18"/>
              </w:rPr>
            </w:pPr>
            <w:r w:rsidRPr="007F1B02">
              <w:rPr>
                <w:i/>
                <w:iCs/>
                <w:color w:val="666666"/>
                <w:sz w:val="18"/>
                <w:szCs w:val="18"/>
              </w:rPr>
              <w:t xml:space="preserve">Castor </w:t>
            </w:r>
            <w:proofErr w:type="spellStart"/>
            <w:r w:rsidRPr="007F1B02">
              <w:rPr>
                <w:i/>
                <w:iCs/>
                <w:color w:val="666666"/>
                <w:sz w:val="18"/>
                <w:szCs w:val="18"/>
              </w:rPr>
              <w:t>fiber</w:t>
            </w:r>
            <w:proofErr w:type="spellEnd"/>
          </w:p>
        </w:tc>
        <w:tc>
          <w:tcPr>
            <w:tcW w:w="0" w:type="auto"/>
            <w:tcBorders>
              <w:top w:val="single" w:sz="6" w:space="0" w:color="B8CCE4"/>
              <w:left w:val="single" w:sz="6" w:space="0" w:color="B8CCE4"/>
              <w:bottom w:val="single" w:sz="6" w:space="0" w:color="B8CCE4"/>
              <w:right w:val="single" w:sz="6" w:space="0" w:color="B8CCE4"/>
            </w:tcBorders>
            <w:shd w:val="clear" w:color="auto" w:fill="FFFFFF"/>
            <w:tcMar>
              <w:top w:w="80" w:type="dxa"/>
              <w:left w:w="120" w:type="dxa"/>
              <w:bottom w:w="80" w:type="dxa"/>
              <w:right w:w="80" w:type="dxa"/>
            </w:tcMar>
          </w:tcPr>
          <w:p w:rsidR="007F1B02" w:rsidRPr="007F1B02" w:rsidRDefault="007F1B02" w:rsidP="007F1B02">
            <w:pPr>
              <w:rPr>
                <w:sz w:val="18"/>
              </w:rPr>
            </w:pPr>
            <w:r w:rsidRPr="007F1B02">
              <w:rPr>
                <w:sz w:val="18"/>
                <w:szCs w:val="20"/>
              </w:rPr>
              <w:t>Berge, ripisylve</w:t>
            </w:r>
          </w:p>
        </w:tc>
        <w:tc>
          <w:tcPr>
            <w:tcW w:w="3193" w:type="dxa"/>
            <w:tcBorders>
              <w:top w:val="single" w:sz="6" w:space="0" w:color="B8CCE4"/>
              <w:left w:val="single" w:sz="6" w:space="0" w:color="B8CCE4"/>
              <w:bottom w:val="single" w:sz="6" w:space="0" w:color="B8CCE4"/>
              <w:right w:val="single" w:sz="6" w:space="0" w:color="B8CCE4"/>
            </w:tcBorders>
            <w:shd w:val="clear" w:color="auto" w:fill="FFFFFF"/>
            <w:tcMar>
              <w:top w:w="80" w:type="dxa"/>
              <w:left w:w="120" w:type="dxa"/>
              <w:bottom w:w="80" w:type="dxa"/>
              <w:right w:w="80" w:type="dxa"/>
            </w:tcMar>
          </w:tcPr>
          <w:p w:rsidR="007F1B02" w:rsidRPr="007F1B02" w:rsidRDefault="007F1B02" w:rsidP="007F1B02">
            <w:pPr>
              <w:rPr>
                <w:sz w:val="18"/>
              </w:rPr>
            </w:pPr>
            <w:r w:rsidRPr="007F1B02">
              <w:rPr>
                <w:sz w:val="18"/>
                <w:szCs w:val="20"/>
              </w:rPr>
              <w:t>Ingénieur écologique : creuse des terriers, abat des arbres. Réintroduit sur le Rhône dans les années 1970, il est protégé.</w:t>
            </w:r>
          </w:p>
        </w:tc>
        <w:tc>
          <w:tcPr>
            <w:tcW w:w="931" w:type="dxa"/>
            <w:tcBorders>
              <w:top w:val="single" w:sz="6" w:space="0" w:color="B8CCE4"/>
              <w:left w:val="single" w:sz="6" w:space="0" w:color="B8CCE4"/>
              <w:bottom w:val="single" w:sz="6" w:space="0" w:color="B8CCE4"/>
              <w:right w:val="single" w:sz="6" w:space="0" w:color="B8CCE4"/>
            </w:tcBorders>
            <w:shd w:val="clear" w:color="auto" w:fill="FFFFFF"/>
          </w:tcPr>
          <w:p w:rsidR="007F1B02" w:rsidRPr="007F1B02" w:rsidRDefault="007F1B02" w:rsidP="007F1B02">
            <w:pPr>
              <w:rPr>
                <w:sz w:val="18"/>
              </w:rPr>
            </w:pPr>
            <w:r w:rsidRPr="007F1B02">
              <w:rPr>
                <w:b/>
                <w:bCs/>
                <w:color w:val="1F3864"/>
                <w:sz w:val="18"/>
                <w:szCs w:val="21"/>
              </w:rPr>
              <w:t>Peuplier noir</w:t>
            </w:r>
          </w:p>
          <w:p w:rsidR="007F1B02" w:rsidRPr="007F1B02" w:rsidRDefault="007F1B02" w:rsidP="007F1B02">
            <w:pPr>
              <w:rPr>
                <w:sz w:val="18"/>
              </w:rPr>
            </w:pPr>
            <w:proofErr w:type="spellStart"/>
            <w:r w:rsidRPr="007F1B02">
              <w:rPr>
                <w:i/>
                <w:iCs/>
                <w:color w:val="666666"/>
                <w:sz w:val="18"/>
                <w:szCs w:val="18"/>
              </w:rPr>
              <w:t>Populus</w:t>
            </w:r>
            <w:proofErr w:type="spellEnd"/>
            <w:r w:rsidRPr="007F1B02">
              <w:rPr>
                <w:i/>
                <w:iCs/>
                <w:color w:val="666666"/>
                <w:sz w:val="18"/>
                <w:szCs w:val="18"/>
              </w:rPr>
              <w:t xml:space="preserve"> </w:t>
            </w:r>
            <w:proofErr w:type="spellStart"/>
            <w:r w:rsidRPr="007F1B02">
              <w:rPr>
                <w:i/>
                <w:iCs/>
                <w:color w:val="666666"/>
                <w:sz w:val="18"/>
                <w:szCs w:val="18"/>
              </w:rPr>
              <w:t>nigra</w:t>
            </w:r>
            <w:proofErr w:type="spellEnd"/>
          </w:p>
        </w:tc>
        <w:tc>
          <w:tcPr>
            <w:tcW w:w="0" w:type="auto"/>
            <w:tcBorders>
              <w:top w:val="single" w:sz="6" w:space="0" w:color="B8CCE4"/>
              <w:left w:val="single" w:sz="6" w:space="0" w:color="B8CCE4"/>
              <w:bottom w:val="single" w:sz="6" w:space="0" w:color="B8CCE4"/>
              <w:right w:val="single" w:sz="6" w:space="0" w:color="B8CCE4"/>
            </w:tcBorders>
            <w:shd w:val="clear" w:color="auto" w:fill="FFFFFF"/>
          </w:tcPr>
          <w:p w:rsidR="007F1B02" w:rsidRPr="007F1B02" w:rsidRDefault="007F1B02" w:rsidP="007F1B02">
            <w:pPr>
              <w:rPr>
                <w:sz w:val="18"/>
              </w:rPr>
            </w:pPr>
            <w:r w:rsidRPr="007F1B02">
              <w:rPr>
                <w:sz w:val="18"/>
                <w:szCs w:val="20"/>
              </w:rPr>
              <w:t>Ripisylve, zone inondable</w:t>
            </w:r>
          </w:p>
        </w:tc>
        <w:tc>
          <w:tcPr>
            <w:tcW w:w="3497" w:type="dxa"/>
            <w:tcBorders>
              <w:top w:val="single" w:sz="6" w:space="0" w:color="B8CCE4"/>
              <w:left w:val="single" w:sz="6" w:space="0" w:color="B8CCE4"/>
              <w:bottom w:val="single" w:sz="6" w:space="0" w:color="B8CCE4"/>
              <w:right w:val="single" w:sz="6" w:space="0" w:color="B8CCE4"/>
            </w:tcBorders>
            <w:shd w:val="clear" w:color="auto" w:fill="FFFFFF"/>
          </w:tcPr>
          <w:p w:rsidR="007F1B02" w:rsidRPr="007F1B02" w:rsidRDefault="007F1B02" w:rsidP="007F1B02">
            <w:pPr>
              <w:rPr>
                <w:sz w:val="18"/>
              </w:rPr>
            </w:pPr>
            <w:r w:rsidRPr="007F1B02">
              <w:rPr>
                <w:sz w:val="18"/>
                <w:szCs w:val="20"/>
              </w:rPr>
              <w:t>Espèce protégée emblématique de la ripisylve rhodanienne. Ses racines retiennent les berges et filtrent les polluants.</w:t>
            </w:r>
          </w:p>
        </w:tc>
      </w:tr>
      <w:tr w:rsidR="007F1B02" w:rsidRPr="007F1B02" w:rsidTr="007F1B02">
        <w:tblPrEx>
          <w:tblCellMar>
            <w:top w:w="0" w:type="dxa"/>
            <w:bottom w:w="0" w:type="dxa"/>
          </w:tblCellMar>
        </w:tblPrEx>
        <w:tc>
          <w:tcPr>
            <w:tcW w:w="599" w:type="dxa"/>
            <w:tcBorders>
              <w:top w:val="single" w:sz="6" w:space="0" w:color="B8CCE4"/>
              <w:left w:val="single" w:sz="6" w:space="0" w:color="B8CCE4"/>
              <w:bottom w:val="single" w:sz="6" w:space="0" w:color="B8CCE4"/>
              <w:right w:val="single" w:sz="6" w:space="0" w:color="B8CCE4"/>
            </w:tcBorders>
            <w:shd w:val="clear" w:color="auto" w:fill="D5E8F0"/>
            <w:tcMar>
              <w:top w:w="80" w:type="dxa"/>
              <w:left w:w="120" w:type="dxa"/>
              <w:bottom w:w="80" w:type="dxa"/>
              <w:right w:w="80" w:type="dxa"/>
            </w:tcMar>
          </w:tcPr>
          <w:p w:rsidR="007F1B02" w:rsidRPr="007F1B02" w:rsidRDefault="007F1B02" w:rsidP="007F1B02">
            <w:pPr>
              <w:rPr>
                <w:sz w:val="18"/>
              </w:rPr>
            </w:pPr>
            <w:r w:rsidRPr="007F1B02">
              <w:rPr>
                <w:b/>
                <w:bCs/>
                <w:color w:val="1F3864"/>
                <w:sz w:val="18"/>
                <w:szCs w:val="21"/>
              </w:rPr>
              <w:t>Loutre d'Europe</w:t>
            </w:r>
          </w:p>
          <w:p w:rsidR="007F1B02" w:rsidRPr="007F1B02" w:rsidRDefault="007F1B02" w:rsidP="007F1B02">
            <w:pPr>
              <w:rPr>
                <w:sz w:val="18"/>
              </w:rPr>
            </w:pPr>
            <w:proofErr w:type="spellStart"/>
            <w:r w:rsidRPr="007F1B02">
              <w:rPr>
                <w:i/>
                <w:iCs/>
                <w:color w:val="666666"/>
                <w:sz w:val="18"/>
                <w:szCs w:val="18"/>
              </w:rPr>
              <w:t>Lutra</w:t>
            </w:r>
            <w:proofErr w:type="spellEnd"/>
            <w:r w:rsidRPr="007F1B02">
              <w:rPr>
                <w:i/>
                <w:iCs/>
                <w:color w:val="666666"/>
                <w:sz w:val="18"/>
                <w:szCs w:val="18"/>
              </w:rPr>
              <w:t xml:space="preserve"> </w:t>
            </w:r>
            <w:proofErr w:type="spellStart"/>
            <w:r w:rsidRPr="007F1B02">
              <w:rPr>
                <w:i/>
                <w:iCs/>
                <w:color w:val="666666"/>
                <w:sz w:val="18"/>
                <w:szCs w:val="18"/>
              </w:rPr>
              <w:t>lutra</w:t>
            </w:r>
            <w:proofErr w:type="spellEnd"/>
          </w:p>
        </w:tc>
        <w:tc>
          <w:tcPr>
            <w:tcW w:w="0" w:type="auto"/>
            <w:tcBorders>
              <w:top w:val="single" w:sz="6" w:space="0" w:color="B8CCE4"/>
              <w:left w:val="single" w:sz="6" w:space="0" w:color="B8CCE4"/>
              <w:bottom w:val="single" w:sz="6" w:space="0" w:color="B8CCE4"/>
              <w:right w:val="single" w:sz="6" w:space="0" w:color="B8CCE4"/>
            </w:tcBorders>
            <w:shd w:val="clear" w:color="auto" w:fill="FFFFFF"/>
            <w:tcMar>
              <w:top w:w="80" w:type="dxa"/>
              <w:left w:w="120" w:type="dxa"/>
              <w:bottom w:w="80" w:type="dxa"/>
              <w:right w:w="80" w:type="dxa"/>
            </w:tcMar>
          </w:tcPr>
          <w:p w:rsidR="007F1B02" w:rsidRPr="007F1B02" w:rsidRDefault="007F1B02" w:rsidP="007F1B02">
            <w:pPr>
              <w:rPr>
                <w:sz w:val="18"/>
              </w:rPr>
            </w:pPr>
            <w:r w:rsidRPr="007F1B02">
              <w:rPr>
                <w:sz w:val="18"/>
                <w:szCs w:val="20"/>
              </w:rPr>
              <w:t>Bords de l'eau, anfractuosités</w:t>
            </w:r>
          </w:p>
        </w:tc>
        <w:tc>
          <w:tcPr>
            <w:tcW w:w="3193" w:type="dxa"/>
            <w:tcBorders>
              <w:top w:val="single" w:sz="6" w:space="0" w:color="B8CCE4"/>
              <w:left w:val="single" w:sz="6" w:space="0" w:color="B8CCE4"/>
              <w:bottom w:val="single" w:sz="6" w:space="0" w:color="B8CCE4"/>
              <w:right w:val="single" w:sz="6" w:space="0" w:color="B8CCE4"/>
            </w:tcBorders>
            <w:shd w:val="clear" w:color="auto" w:fill="FFFFFF"/>
            <w:tcMar>
              <w:top w:w="80" w:type="dxa"/>
              <w:left w:w="120" w:type="dxa"/>
              <w:bottom w:w="80" w:type="dxa"/>
              <w:right w:w="80" w:type="dxa"/>
            </w:tcMar>
          </w:tcPr>
          <w:p w:rsidR="007F1B02" w:rsidRPr="007F1B02" w:rsidRDefault="007F1B02" w:rsidP="007F1B02">
            <w:pPr>
              <w:rPr>
                <w:sz w:val="18"/>
              </w:rPr>
            </w:pPr>
            <w:proofErr w:type="spellStart"/>
            <w:r w:rsidRPr="007F1B02">
              <w:rPr>
                <w:sz w:val="18"/>
                <w:szCs w:val="20"/>
              </w:rPr>
              <w:t>Bioindicateur</w:t>
            </w:r>
            <w:proofErr w:type="spellEnd"/>
            <w:r w:rsidRPr="007F1B02">
              <w:rPr>
                <w:sz w:val="18"/>
                <w:szCs w:val="20"/>
              </w:rPr>
              <w:t xml:space="preserve"> de qualité : elle ne vit que dans des eaux très propres, riches en poissons. Sa présence = bonne qualité de l'eau.</w:t>
            </w:r>
          </w:p>
        </w:tc>
        <w:tc>
          <w:tcPr>
            <w:tcW w:w="931" w:type="dxa"/>
            <w:tcBorders>
              <w:top w:val="single" w:sz="6" w:space="0" w:color="B8CCE4"/>
              <w:left w:val="single" w:sz="6" w:space="0" w:color="B8CCE4"/>
              <w:bottom w:val="single" w:sz="6" w:space="0" w:color="B8CCE4"/>
              <w:right w:val="single" w:sz="6" w:space="0" w:color="B8CCE4"/>
            </w:tcBorders>
            <w:shd w:val="clear" w:color="auto" w:fill="FFFFFF"/>
          </w:tcPr>
          <w:p w:rsidR="007F1B02" w:rsidRPr="007F1B02" w:rsidRDefault="007F1B02" w:rsidP="007F1B02">
            <w:pPr>
              <w:rPr>
                <w:sz w:val="18"/>
              </w:rPr>
            </w:pPr>
            <w:r w:rsidRPr="007F1B02">
              <w:rPr>
                <w:b/>
                <w:bCs/>
                <w:color w:val="1F3864"/>
                <w:sz w:val="18"/>
                <w:szCs w:val="21"/>
              </w:rPr>
              <w:t>Salicaire commune</w:t>
            </w:r>
          </w:p>
          <w:p w:rsidR="007F1B02" w:rsidRPr="007F1B02" w:rsidRDefault="007F1B02" w:rsidP="007F1B02">
            <w:pPr>
              <w:rPr>
                <w:sz w:val="18"/>
              </w:rPr>
            </w:pPr>
            <w:r w:rsidRPr="007F1B02">
              <w:rPr>
                <w:i/>
                <w:iCs/>
                <w:color w:val="666666"/>
                <w:sz w:val="18"/>
                <w:szCs w:val="18"/>
              </w:rPr>
              <w:t xml:space="preserve">Lythrum </w:t>
            </w:r>
            <w:proofErr w:type="spellStart"/>
            <w:r w:rsidRPr="007F1B02">
              <w:rPr>
                <w:i/>
                <w:iCs/>
                <w:color w:val="666666"/>
                <w:sz w:val="18"/>
                <w:szCs w:val="18"/>
              </w:rPr>
              <w:t>salicaria</w:t>
            </w:r>
            <w:proofErr w:type="spellEnd"/>
          </w:p>
        </w:tc>
        <w:tc>
          <w:tcPr>
            <w:tcW w:w="0" w:type="auto"/>
            <w:tcBorders>
              <w:top w:val="single" w:sz="6" w:space="0" w:color="B8CCE4"/>
              <w:left w:val="single" w:sz="6" w:space="0" w:color="B8CCE4"/>
              <w:bottom w:val="single" w:sz="6" w:space="0" w:color="B8CCE4"/>
              <w:right w:val="single" w:sz="6" w:space="0" w:color="B8CCE4"/>
            </w:tcBorders>
            <w:shd w:val="clear" w:color="auto" w:fill="FFFFFF"/>
          </w:tcPr>
          <w:p w:rsidR="007F1B02" w:rsidRPr="007F1B02" w:rsidRDefault="007F1B02" w:rsidP="007F1B02">
            <w:pPr>
              <w:rPr>
                <w:sz w:val="18"/>
              </w:rPr>
            </w:pPr>
            <w:r w:rsidRPr="007F1B02">
              <w:rPr>
                <w:sz w:val="18"/>
                <w:szCs w:val="20"/>
              </w:rPr>
              <w:t>Berge humide, graviers</w:t>
            </w:r>
          </w:p>
        </w:tc>
        <w:tc>
          <w:tcPr>
            <w:tcW w:w="3497" w:type="dxa"/>
            <w:tcBorders>
              <w:top w:val="single" w:sz="6" w:space="0" w:color="B8CCE4"/>
              <w:left w:val="single" w:sz="6" w:space="0" w:color="B8CCE4"/>
              <w:bottom w:val="single" w:sz="6" w:space="0" w:color="B8CCE4"/>
              <w:right w:val="single" w:sz="6" w:space="0" w:color="B8CCE4"/>
            </w:tcBorders>
            <w:shd w:val="clear" w:color="auto" w:fill="FFFFFF"/>
          </w:tcPr>
          <w:p w:rsidR="007F1B02" w:rsidRPr="007F1B02" w:rsidRDefault="007F1B02" w:rsidP="007F1B02">
            <w:pPr>
              <w:rPr>
                <w:sz w:val="18"/>
              </w:rPr>
            </w:pPr>
            <w:r w:rsidRPr="007F1B02">
              <w:rPr>
                <w:sz w:val="18"/>
                <w:szCs w:val="20"/>
              </w:rPr>
              <w:t>Plante mellifère très visitée par les abeilles. Colonise les zones perturbées par les crues. Fleurs rose-violet caractéristiques.</w:t>
            </w:r>
          </w:p>
        </w:tc>
      </w:tr>
      <w:tr w:rsidR="007F1B02" w:rsidRPr="007F1B02" w:rsidTr="007F1B02">
        <w:tblPrEx>
          <w:tblCellMar>
            <w:top w:w="0" w:type="dxa"/>
            <w:bottom w:w="0" w:type="dxa"/>
          </w:tblCellMar>
        </w:tblPrEx>
        <w:tc>
          <w:tcPr>
            <w:tcW w:w="599" w:type="dxa"/>
            <w:tcBorders>
              <w:top w:val="single" w:sz="6" w:space="0" w:color="B8CCE4"/>
              <w:left w:val="single" w:sz="6" w:space="0" w:color="B8CCE4"/>
              <w:bottom w:val="single" w:sz="6" w:space="0" w:color="B8CCE4"/>
              <w:right w:val="single" w:sz="6" w:space="0" w:color="B8CCE4"/>
            </w:tcBorders>
            <w:shd w:val="clear" w:color="auto" w:fill="D5E8F0"/>
            <w:tcMar>
              <w:top w:w="80" w:type="dxa"/>
              <w:left w:w="120" w:type="dxa"/>
              <w:bottom w:w="80" w:type="dxa"/>
              <w:right w:w="80" w:type="dxa"/>
            </w:tcMar>
          </w:tcPr>
          <w:p w:rsidR="007F1B02" w:rsidRPr="007F1B02" w:rsidRDefault="007F1B02" w:rsidP="007F1B02">
            <w:pPr>
              <w:rPr>
                <w:sz w:val="18"/>
              </w:rPr>
            </w:pPr>
            <w:r w:rsidRPr="007F1B02">
              <w:rPr>
                <w:b/>
                <w:bCs/>
                <w:color w:val="1F3864"/>
                <w:sz w:val="18"/>
                <w:szCs w:val="21"/>
              </w:rPr>
              <w:t>Brochet</w:t>
            </w:r>
          </w:p>
          <w:p w:rsidR="007F1B02" w:rsidRPr="007F1B02" w:rsidRDefault="007F1B02" w:rsidP="007F1B02">
            <w:pPr>
              <w:rPr>
                <w:sz w:val="18"/>
              </w:rPr>
            </w:pPr>
            <w:proofErr w:type="spellStart"/>
            <w:r w:rsidRPr="007F1B02">
              <w:rPr>
                <w:i/>
                <w:iCs/>
                <w:color w:val="666666"/>
                <w:sz w:val="18"/>
                <w:szCs w:val="18"/>
              </w:rPr>
              <w:t>Esox</w:t>
            </w:r>
            <w:proofErr w:type="spellEnd"/>
            <w:r w:rsidRPr="007F1B02">
              <w:rPr>
                <w:i/>
                <w:iCs/>
                <w:color w:val="666666"/>
                <w:sz w:val="18"/>
                <w:szCs w:val="18"/>
              </w:rPr>
              <w:t xml:space="preserve"> </w:t>
            </w:r>
            <w:proofErr w:type="spellStart"/>
            <w:r w:rsidRPr="007F1B02">
              <w:rPr>
                <w:i/>
                <w:iCs/>
                <w:color w:val="666666"/>
                <w:sz w:val="18"/>
                <w:szCs w:val="18"/>
              </w:rPr>
              <w:t>lucius</w:t>
            </w:r>
            <w:proofErr w:type="spellEnd"/>
          </w:p>
        </w:tc>
        <w:tc>
          <w:tcPr>
            <w:tcW w:w="0" w:type="auto"/>
            <w:tcBorders>
              <w:top w:val="single" w:sz="6" w:space="0" w:color="B8CCE4"/>
              <w:left w:val="single" w:sz="6" w:space="0" w:color="B8CCE4"/>
              <w:bottom w:val="single" w:sz="6" w:space="0" w:color="B8CCE4"/>
              <w:right w:val="single" w:sz="6" w:space="0" w:color="B8CCE4"/>
            </w:tcBorders>
            <w:shd w:val="clear" w:color="auto" w:fill="FFFFFF"/>
            <w:tcMar>
              <w:top w:w="80" w:type="dxa"/>
              <w:left w:w="120" w:type="dxa"/>
              <w:bottom w:w="80" w:type="dxa"/>
              <w:right w:w="80" w:type="dxa"/>
            </w:tcMar>
          </w:tcPr>
          <w:p w:rsidR="007F1B02" w:rsidRPr="007F1B02" w:rsidRDefault="007F1B02" w:rsidP="007F1B02">
            <w:pPr>
              <w:rPr>
                <w:sz w:val="18"/>
              </w:rPr>
            </w:pPr>
            <w:r w:rsidRPr="007F1B02">
              <w:rPr>
                <w:sz w:val="18"/>
                <w:szCs w:val="20"/>
              </w:rPr>
              <w:t>Zones calmes, végétalisées</w:t>
            </w:r>
          </w:p>
        </w:tc>
        <w:tc>
          <w:tcPr>
            <w:tcW w:w="3193" w:type="dxa"/>
            <w:tcBorders>
              <w:top w:val="single" w:sz="6" w:space="0" w:color="B8CCE4"/>
              <w:left w:val="single" w:sz="6" w:space="0" w:color="B8CCE4"/>
              <w:bottom w:val="single" w:sz="6" w:space="0" w:color="B8CCE4"/>
              <w:right w:val="single" w:sz="6" w:space="0" w:color="B8CCE4"/>
            </w:tcBorders>
            <w:shd w:val="clear" w:color="auto" w:fill="FFFFFF"/>
            <w:tcMar>
              <w:top w:w="80" w:type="dxa"/>
              <w:left w:w="120" w:type="dxa"/>
              <w:bottom w:w="80" w:type="dxa"/>
              <w:right w:w="80" w:type="dxa"/>
            </w:tcMar>
          </w:tcPr>
          <w:p w:rsidR="007F1B02" w:rsidRPr="007F1B02" w:rsidRDefault="007F1B02" w:rsidP="007F1B02">
            <w:pPr>
              <w:rPr>
                <w:sz w:val="18"/>
              </w:rPr>
            </w:pPr>
            <w:r w:rsidRPr="007F1B02">
              <w:rPr>
                <w:sz w:val="18"/>
                <w:szCs w:val="20"/>
              </w:rPr>
              <w:t>Prédateur au sommet de la chaîne alimentaire aquatique. Se reproduit dans les zones calmes créées par les épis rocheux.</w:t>
            </w:r>
          </w:p>
        </w:tc>
        <w:tc>
          <w:tcPr>
            <w:tcW w:w="931" w:type="dxa"/>
            <w:tcBorders>
              <w:top w:val="single" w:sz="6" w:space="0" w:color="B8CCE4"/>
              <w:left w:val="single" w:sz="6" w:space="0" w:color="B8CCE4"/>
              <w:bottom w:val="single" w:sz="6" w:space="0" w:color="B8CCE4"/>
              <w:right w:val="single" w:sz="6" w:space="0" w:color="B8CCE4"/>
            </w:tcBorders>
            <w:shd w:val="clear" w:color="auto" w:fill="FFFFFF"/>
          </w:tcPr>
          <w:p w:rsidR="007F1B02" w:rsidRPr="007F1B02" w:rsidRDefault="007F1B02" w:rsidP="007F1B02">
            <w:pPr>
              <w:rPr>
                <w:sz w:val="18"/>
              </w:rPr>
            </w:pPr>
            <w:r w:rsidRPr="007F1B02">
              <w:rPr>
                <w:b/>
                <w:bCs/>
                <w:color w:val="1F3864"/>
                <w:sz w:val="18"/>
                <w:szCs w:val="21"/>
              </w:rPr>
              <w:t>Roseau commun</w:t>
            </w:r>
          </w:p>
          <w:p w:rsidR="007F1B02" w:rsidRPr="007F1B02" w:rsidRDefault="007F1B02" w:rsidP="007F1B02">
            <w:pPr>
              <w:rPr>
                <w:sz w:val="18"/>
              </w:rPr>
            </w:pPr>
            <w:r w:rsidRPr="007F1B02">
              <w:rPr>
                <w:i/>
                <w:iCs/>
                <w:color w:val="666666"/>
                <w:sz w:val="18"/>
                <w:szCs w:val="18"/>
              </w:rPr>
              <w:t>Phragmites australis</w:t>
            </w:r>
          </w:p>
        </w:tc>
        <w:tc>
          <w:tcPr>
            <w:tcW w:w="0" w:type="auto"/>
            <w:tcBorders>
              <w:top w:val="single" w:sz="6" w:space="0" w:color="B8CCE4"/>
              <w:left w:val="single" w:sz="6" w:space="0" w:color="B8CCE4"/>
              <w:bottom w:val="single" w:sz="6" w:space="0" w:color="B8CCE4"/>
              <w:right w:val="single" w:sz="6" w:space="0" w:color="B8CCE4"/>
            </w:tcBorders>
            <w:shd w:val="clear" w:color="auto" w:fill="FFFFFF"/>
          </w:tcPr>
          <w:p w:rsidR="007F1B02" w:rsidRPr="007F1B02" w:rsidRDefault="007F1B02" w:rsidP="007F1B02">
            <w:pPr>
              <w:rPr>
                <w:sz w:val="18"/>
              </w:rPr>
            </w:pPr>
            <w:r w:rsidRPr="007F1B02">
              <w:rPr>
                <w:sz w:val="18"/>
                <w:szCs w:val="20"/>
              </w:rPr>
              <w:t>Zones marécageuses</w:t>
            </w:r>
          </w:p>
        </w:tc>
        <w:tc>
          <w:tcPr>
            <w:tcW w:w="3497" w:type="dxa"/>
            <w:tcBorders>
              <w:top w:val="single" w:sz="6" w:space="0" w:color="B8CCE4"/>
              <w:left w:val="single" w:sz="6" w:space="0" w:color="B8CCE4"/>
              <w:bottom w:val="single" w:sz="6" w:space="0" w:color="B8CCE4"/>
              <w:right w:val="single" w:sz="6" w:space="0" w:color="B8CCE4"/>
            </w:tcBorders>
            <w:shd w:val="clear" w:color="auto" w:fill="FFFFFF"/>
          </w:tcPr>
          <w:p w:rsidR="007F1B02" w:rsidRPr="007F1B02" w:rsidRDefault="007F1B02" w:rsidP="007F1B02">
            <w:pPr>
              <w:rPr>
                <w:sz w:val="18"/>
              </w:rPr>
            </w:pPr>
            <w:r w:rsidRPr="007F1B02">
              <w:rPr>
                <w:sz w:val="18"/>
                <w:szCs w:val="20"/>
              </w:rPr>
              <w:t>Filtre naturel : absorbe les nitrates et phosphates. Abri pour fauvettes et rousserolles. Ralentit la vitesse de l'eau.</w:t>
            </w:r>
          </w:p>
        </w:tc>
      </w:tr>
    </w:tbl>
    <w:p w:rsidR="007F1B02" w:rsidRDefault="007F1B02">
      <w:pPr>
        <w:spacing w:before="60" w:after="100"/>
        <w:rPr>
          <w:i/>
          <w:iCs/>
          <w:color w:val="555555"/>
          <w:sz w:val="18"/>
          <w:szCs w:val="18"/>
        </w:rPr>
      </w:pPr>
      <w:r>
        <w:rPr>
          <w:noProof/>
        </w:rPr>
        <w:drawing>
          <wp:inline distT="0" distB="0" distL="0" distR="0" wp14:anchorId="6BCA1F3A" wp14:editId="441CD627">
            <wp:extent cx="4297680" cy="2208530"/>
            <wp:effectExtent l="0" t="0" r="7620" b="127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4314250" cy="2217045"/>
                    </a:xfrm>
                    <a:prstGeom prst="rect">
                      <a:avLst/>
                    </a:prstGeom>
                  </pic:spPr>
                </pic:pic>
              </a:graphicData>
            </a:graphic>
          </wp:inline>
        </w:drawing>
      </w:r>
      <w:r w:rsidRPr="007F1B02">
        <w:rPr>
          <w:i/>
          <w:iCs/>
          <w:color w:val="555555"/>
          <w:sz w:val="18"/>
          <w:szCs w:val="18"/>
        </w:rPr>
        <w:t xml:space="preserve"> </w:t>
      </w:r>
    </w:p>
    <w:p w:rsidR="00997BEF" w:rsidRDefault="007F1B02">
      <w:pPr>
        <w:spacing w:before="60" w:after="100"/>
      </w:pPr>
      <w:r>
        <w:rPr>
          <w:i/>
          <w:iCs/>
          <w:color w:val="555555"/>
          <w:sz w:val="18"/>
          <w:szCs w:val="18"/>
        </w:rPr>
        <w:t>Doc. 2 – Évolution de la population du Castor d'Europe sur le bassin du Rhône (sources : Office Français de la Biodiversité).</w:t>
      </w:r>
    </w:p>
    <w:p w:rsidR="00997BEF" w:rsidRDefault="00997BEF">
      <w:pPr>
        <w:spacing w:before="100"/>
      </w:pPr>
    </w:p>
    <w:tbl>
      <w:tblPr>
        <w:tblW w:w="10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622"/>
      </w:tblGrid>
      <w:tr w:rsidR="00997BEF" w:rsidRPr="007F1B02" w:rsidTr="007F1B02">
        <w:tblPrEx>
          <w:tblCellMar>
            <w:top w:w="0" w:type="dxa"/>
            <w:bottom w:w="0" w:type="dxa"/>
          </w:tblCellMar>
        </w:tblPrEx>
        <w:tc>
          <w:tcPr>
            <w:tcW w:w="10622" w:type="dxa"/>
            <w:tcBorders>
              <w:top w:val="single" w:sz="8" w:space="0" w:color="BF8F00"/>
              <w:left w:val="single" w:sz="8" w:space="0" w:color="BF8F00"/>
              <w:bottom w:val="single" w:sz="8" w:space="0" w:color="BF8F00"/>
              <w:right w:val="single" w:sz="8" w:space="0" w:color="BF8F00"/>
            </w:tcBorders>
            <w:shd w:val="clear" w:color="auto" w:fill="FFF2CC"/>
            <w:tcMar>
              <w:top w:w="100" w:type="dxa"/>
              <w:left w:w="160" w:type="dxa"/>
              <w:bottom w:w="100" w:type="dxa"/>
              <w:right w:w="160" w:type="dxa"/>
            </w:tcMar>
          </w:tcPr>
          <w:p w:rsidR="007F1B02" w:rsidRPr="007F1B02" w:rsidRDefault="007F1B02" w:rsidP="007F1B02">
            <w:pPr>
              <w:spacing w:before="60" w:after="60"/>
              <w:rPr>
                <w:sz w:val="20"/>
              </w:rPr>
            </w:pPr>
            <w:r w:rsidRPr="007F1B02">
              <w:rPr>
                <w:b/>
                <w:bCs/>
                <w:i/>
                <w:iCs/>
                <w:color w:val="375623"/>
                <w:sz w:val="20"/>
              </w:rPr>
              <w:sym w:font="Webdings" w:char="F059"/>
            </w:r>
            <w:r w:rsidRPr="007F1B02">
              <w:rPr>
                <w:b/>
                <w:bCs/>
                <w:i/>
                <w:iCs/>
                <w:color w:val="375623"/>
                <w:sz w:val="20"/>
              </w:rPr>
              <w:t xml:space="preserve"> </w:t>
            </w:r>
            <w:r w:rsidR="00643401" w:rsidRPr="007F1B02">
              <w:rPr>
                <w:b/>
                <w:bCs/>
                <w:i/>
                <w:iCs/>
                <w:color w:val="375623"/>
                <w:sz w:val="20"/>
              </w:rPr>
              <w:t xml:space="preserve">One </w:t>
            </w:r>
            <w:proofErr w:type="spellStart"/>
            <w:r w:rsidR="00643401" w:rsidRPr="007F1B02">
              <w:rPr>
                <w:b/>
                <w:bCs/>
                <w:i/>
                <w:iCs/>
                <w:color w:val="375623"/>
                <w:sz w:val="20"/>
              </w:rPr>
              <w:t>Heal</w:t>
            </w:r>
            <w:r w:rsidR="00643401" w:rsidRPr="007F1B02">
              <w:rPr>
                <w:b/>
                <w:bCs/>
                <w:i/>
                <w:iCs/>
                <w:color w:val="375623"/>
                <w:sz w:val="20"/>
              </w:rPr>
              <w:t>th</w:t>
            </w:r>
            <w:proofErr w:type="spellEnd"/>
            <w:r w:rsidR="00643401" w:rsidRPr="007F1B02">
              <w:rPr>
                <w:sz w:val="20"/>
              </w:rPr>
              <w:t xml:space="preserve"> : </w:t>
            </w:r>
            <w:r w:rsidRPr="007F1B02">
              <w:rPr>
                <w:sz w:val="20"/>
              </w:rPr>
              <w:t>Les crues plus violentes et plus fréquentes détruisent la ripisylve et perturbent les espèces qui en dépendent. La disparition des zones de végétation filtrante entraîne une dégradation de la qualité de l'eau du Rhône – qui alimente nos robinets.</w:t>
            </w:r>
          </w:p>
          <w:p w:rsidR="00997BEF" w:rsidRPr="007F1B02" w:rsidRDefault="00643401" w:rsidP="007F1B02">
            <w:pPr>
              <w:spacing w:before="60" w:after="60"/>
              <w:rPr>
                <w:sz w:val="20"/>
              </w:rPr>
            </w:pPr>
            <w:r w:rsidRPr="007F1B02">
              <w:rPr>
                <w:sz w:val="20"/>
              </w:rPr>
              <w:t xml:space="preserve">La Loutre d'Europe et le Brochet sont des </w:t>
            </w:r>
            <w:proofErr w:type="spellStart"/>
            <w:r w:rsidRPr="007F1B02">
              <w:rPr>
                <w:b/>
                <w:bCs/>
                <w:sz w:val="20"/>
              </w:rPr>
              <w:t>bioindicateurs</w:t>
            </w:r>
            <w:proofErr w:type="spellEnd"/>
            <w:r w:rsidRPr="007F1B02">
              <w:rPr>
                <w:sz w:val="20"/>
              </w:rPr>
              <w:t xml:space="preserve"> : si ces espèces disparaissent du Rhône à Pont-Saint-Esprit, cela signale une dégradation de l'eau que nous buvons.</w:t>
            </w:r>
          </w:p>
          <w:p w:rsidR="00997BEF" w:rsidRPr="007F1B02" w:rsidRDefault="00643401">
            <w:pPr>
              <w:spacing w:before="60" w:after="60"/>
              <w:rPr>
                <w:sz w:val="20"/>
              </w:rPr>
            </w:pPr>
            <w:r w:rsidRPr="007F1B02">
              <w:rPr>
                <w:b/>
                <w:bCs/>
                <w:color w:val="1F3864"/>
                <w:sz w:val="20"/>
              </w:rPr>
              <w:t xml:space="preserve">→ Question élève : </w:t>
            </w:r>
            <w:r w:rsidRPr="007F1B02">
              <w:rPr>
                <w:i/>
                <w:iCs/>
                <w:sz w:val="20"/>
              </w:rPr>
              <w:t>"Si les crues arrachent les saules et peupliers des berges</w:t>
            </w:r>
            <w:r w:rsidRPr="007F1B02">
              <w:rPr>
                <w:i/>
                <w:iCs/>
                <w:sz w:val="20"/>
              </w:rPr>
              <w:t xml:space="preserve">, quelles conséquences cela </w:t>
            </w:r>
            <w:proofErr w:type="spellStart"/>
            <w:r w:rsidRPr="007F1B02">
              <w:rPr>
                <w:i/>
                <w:iCs/>
                <w:sz w:val="20"/>
              </w:rPr>
              <w:t>a-t-il</w:t>
            </w:r>
            <w:proofErr w:type="spellEnd"/>
            <w:r w:rsidRPr="007F1B02">
              <w:rPr>
                <w:i/>
                <w:iCs/>
                <w:sz w:val="20"/>
              </w:rPr>
              <w:t xml:space="preserve"> sur les animaux qui y vivent ? Et sur la qualité de notre eau potable ?"</w:t>
            </w:r>
          </w:p>
        </w:tc>
      </w:tr>
    </w:tbl>
    <w:p w:rsidR="00997BEF" w:rsidRDefault="00997BEF">
      <w:pPr>
        <w:spacing w:before="100"/>
      </w:pPr>
    </w:p>
    <w:tbl>
      <w:tblPr>
        <w:tblW w:w="10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335"/>
      </w:tblGrid>
      <w:tr w:rsidR="00997BEF" w:rsidRPr="007F1B02" w:rsidTr="007F1B02">
        <w:tblPrEx>
          <w:tblCellMar>
            <w:top w:w="0" w:type="dxa"/>
            <w:bottom w:w="0" w:type="dxa"/>
          </w:tblCellMar>
        </w:tblPrEx>
        <w:tc>
          <w:tcPr>
            <w:tcW w:w="10335" w:type="dxa"/>
            <w:tcBorders>
              <w:top w:val="single" w:sz="10" w:space="0" w:color="2E75B6"/>
              <w:left w:val="single" w:sz="10" w:space="0" w:color="2E75B6"/>
              <w:bottom w:val="single" w:sz="10" w:space="0" w:color="2E75B6"/>
              <w:right w:val="single" w:sz="10" w:space="0" w:color="2E75B6"/>
            </w:tcBorders>
            <w:shd w:val="clear" w:color="auto" w:fill="F2F2F2"/>
            <w:tcMar>
              <w:top w:w="100" w:type="dxa"/>
              <w:left w:w="180" w:type="dxa"/>
              <w:bottom w:w="120" w:type="dxa"/>
              <w:right w:w="180" w:type="dxa"/>
            </w:tcMar>
          </w:tcPr>
          <w:p w:rsidR="00997BEF" w:rsidRPr="007F1B02" w:rsidRDefault="00643401" w:rsidP="007F1B02">
            <w:pPr>
              <w:rPr>
                <w:sz w:val="20"/>
              </w:rPr>
            </w:pPr>
            <w:r w:rsidRPr="007F1B02">
              <w:rPr>
                <w:b/>
                <w:bCs/>
                <w:color w:val="1F3864"/>
                <w:sz w:val="20"/>
                <w:szCs w:val="26"/>
              </w:rPr>
              <w:t>VOS MISSIONS :</w:t>
            </w:r>
          </w:p>
          <w:p w:rsidR="00997BEF" w:rsidRPr="007F1B02" w:rsidRDefault="00643401" w:rsidP="007F1B02">
            <w:pPr>
              <w:pStyle w:val="Paragraphedeliste"/>
              <w:numPr>
                <w:ilvl w:val="0"/>
                <w:numId w:val="2"/>
              </w:numPr>
              <w:rPr>
                <w:sz w:val="20"/>
              </w:rPr>
            </w:pPr>
            <w:r w:rsidRPr="007F1B02">
              <w:rPr>
                <w:b/>
                <w:bCs/>
                <w:sz w:val="20"/>
              </w:rPr>
              <w:t>Observe et note</w:t>
            </w:r>
            <w:r w:rsidRPr="007F1B02">
              <w:rPr>
                <w:sz w:val="20"/>
              </w:rPr>
              <w:t xml:space="preserve"> : En regardant les berges autour de toi, coche les espèces que tu identifies :</w:t>
            </w:r>
          </w:p>
          <w:p w:rsidR="00997BEF" w:rsidRPr="007F1B02" w:rsidRDefault="00643401" w:rsidP="007F1B02">
            <w:pPr>
              <w:ind w:left="720"/>
              <w:rPr>
                <w:sz w:val="20"/>
              </w:rPr>
            </w:pPr>
            <w:r w:rsidRPr="007F1B02">
              <w:rPr>
                <w:sz w:val="20"/>
                <w:szCs w:val="21"/>
              </w:rPr>
              <w:t xml:space="preserve">Héron </w:t>
            </w:r>
            <w:proofErr w:type="gramStart"/>
            <w:r w:rsidRPr="007F1B02">
              <w:rPr>
                <w:sz w:val="20"/>
                <w:szCs w:val="21"/>
              </w:rPr>
              <w:t>cendré  ☐</w:t>
            </w:r>
            <w:proofErr w:type="gramEnd"/>
            <w:r w:rsidRPr="007F1B02">
              <w:rPr>
                <w:sz w:val="20"/>
                <w:szCs w:val="21"/>
              </w:rPr>
              <w:t xml:space="preserve">     Canard colvert  ☐     Saule blanc  ☐     Roseau  ☐     Peuplier noir  ☐</w:t>
            </w:r>
          </w:p>
          <w:p w:rsidR="00997BEF" w:rsidRPr="007F1B02" w:rsidRDefault="00643401" w:rsidP="007F1B02">
            <w:pPr>
              <w:pStyle w:val="Paragraphedeliste"/>
              <w:numPr>
                <w:ilvl w:val="0"/>
                <w:numId w:val="2"/>
              </w:numPr>
              <w:rPr>
                <w:sz w:val="20"/>
              </w:rPr>
            </w:pPr>
            <w:r w:rsidRPr="007F1B02">
              <w:rPr>
                <w:b/>
                <w:bCs/>
                <w:sz w:val="20"/>
              </w:rPr>
              <w:t>Schéma</w:t>
            </w:r>
            <w:r w:rsidRPr="007F1B02">
              <w:rPr>
                <w:sz w:val="20"/>
              </w:rPr>
              <w:t xml:space="preserve"> : Sur ton cahier, dessine une coupe de la berge (eau → gravier → ripisylve → digue) et place 3 espèces au bon endroit en t'aidant du Doc. 1.</w:t>
            </w:r>
          </w:p>
          <w:p w:rsidR="00997BEF" w:rsidRPr="007F1B02" w:rsidRDefault="00643401" w:rsidP="007F1B02">
            <w:pPr>
              <w:pStyle w:val="Paragraphedeliste"/>
              <w:numPr>
                <w:ilvl w:val="0"/>
                <w:numId w:val="2"/>
              </w:numPr>
              <w:rPr>
                <w:sz w:val="20"/>
              </w:rPr>
            </w:pPr>
            <w:r w:rsidRPr="007F1B02">
              <w:rPr>
                <w:b/>
                <w:bCs/>
                <w:sz w:val="20"/>
              </w:rPr>
              <w:t xml:space="preserve">Analyse du Doc. </w:t>
            </w:r>
            <w:r w:rsidRPr="007F1B02">
              <w:rPr>
                <w:b/>
                <w:bCs/>
                <w:sz w:val="20"/>
              </w:rPr>
              <w:t>2</w:t>
            </w:r>
            <w:r w:rsidRPr="007F1B02">
              <w:rPr>
                <w:sz w:val="20"/>
              </w:rPr>
              <w:t xml:space="preserve"> : Décris l'évolution de la population du Castor. Selon toi, pourquoi </w:t>
            </w:r>
            <w:proofErr w:type="spellStart"/>
            <w:r w:rsidRPr="007F1B02">
              <w:rPr>
                <w:sz w:val="20"/>
              </w:rPr>
              <w:t>a-t-il</w:t>
            </w:r>
            <w:proofErr w:type="spellEnd"/>
            <w:r w:rsidRPr="007F1B02">
              <w:rPr>
                <w:sz w:val="20"/>
              </w:rPr>
              <w:t xml:space="preserve"> failli disparaître ? Qu'est-ce qui a permis son retour ?</w:t>
            </w:r>
            <w:bookmarkStart w:id="0" w:name="_GoBack"/>
            <w:bookmarkEnd w:id="0"/>
          </w:p>
        </w:tc>
      </w:tr>
    </w:tbl>
    <w:p w:rsidR="00643401" w:rsidRDefault="00643401"/>
    <w:sectPr w:rsidR="00643401" w:rsidSect="007F1B02">
      <w:pgSz w:w="11906" w:h="16838"/>
      <w:pgMar w:top="567" w:right="624" w:bottom="567" w:left="624"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586DA8"/>
    <w:multiLevelType w:val="hybridMultilevel"/>
    <w:tmpl w:val="48040FEA"/>
    <w:lvl w:ilvl="0" w:tplc="E72ADB46">
      <w:start w:val="1"/>
      <w:numFmt w:val="bullet"/>
      <w:lvlText w:val="•"/>
      <w:lvlJc w:val="left"/>
      <w:pPr>
        <w:ind w:left="720" w:hanging="360"/>
      </w:pPr>
    </w:lvl>
    <w:lvl w:ilvl="1" w:tplc="B00EADF2">
      <w:numFmt w:val="decimal"/>
      <w:lvlText w:val=""/>
      <w:lvlJc w:val="left"/>
    </w:lvl>
    <w:lvl w:ilvl="2" w:tplc="AAB6ADCC">
      <w:numFmt w:val="decimal"/>
      <w:lvlText w:val=""/>
      <w:lvlJc w:val="left"/>
    </w:lvl>
    <w:lvl w:ilvl="3" w:tplc="D566683A">
      <w:numFmt w:val="decimal"/>
      <w:lvlText w:val=""/>
      <w:lvlJc w:val="left"/>
    </w:lvl>
    <w:lvl w:ilvl="4" w:tplc="D7AEEDB6">
      <w:numFmt w:val="decimal"/>
      <w:lvlText w:val=""/>
      <w:lvlJc w:val="left"/>
    </w:lvl>
    <w:lvl w:ilvl="5" w:tplc="10D4DE82">
      <w:numFmt w:val="decimal"/>
      <w:lvlText w:val=""/>
      <w:lvlJc w:val="left"/>
    </w:lvl>
    <w:lvl w:ilvl="6" w:tplc="C8C85496">
      <w:numFmt w:val="decimal"/>
      <w:lvlText w:val=""/>
      <w:lvlJc w:val="left"/>
    </w:lvl>
    <w:lvl w:ilvl="7" w:tplc="819A73C0">
      <w:numFmt w:val="decimal"/>
      <w:lvlText w:val=""/>
      <w:lvlJc w:val="left"/>
    </w:lvl>
    <w:lvl w:ilvl="8" w:tplc="2C72A0EA">
      <w:numFmt w:val="decimal"/>
      <w:lvlText w:val=""/>
      <w:lvlJc w:val="left"/>
    </w:lvl>
  </w:abstractNum>
  <w:abstractNum w:abstractNumId="1" w15:restartNumberingAfterBreak="0">
    <w:nsid w:val="68525BA4"/>
    <w:multiLevelType w:val="hybridMultilevel"/>
    <w:tmpl w:val="CE2E4E9A"/>
    <w:lvl w:ilvl="0" w:tplc="C95EC320">
      <w:start w:val="1"/>
      <w:numFmt w:val="bullet"/>
      <w:lvlText w:val="●"/>
      <w:lvlJc w:val="left"/>
      <w:pPr>
        <w:ind w:left="720" w:hanging="360"/>
      </w:pPr>
    </w:lvl>
    <w:lvl w:ilvl="1" w:tplc="5FE41128">
      <w:start w:val="1"/>
      <w:numFmt w:val="bullet"/>
      <w:lvlText w:val="○"/>
      <w:lvlJc w:val="left"/>
      <w:pPr>
        <w:ind w:left="1440" w:hanging="360"/>
      </w:pPr>
    </w:lvl>
    <w:lvl w:ilvl="2" w:tplc="805A8044">
      <w:start w:val="1"/>
      <w:numFmt w:val="bullet"/>
      <w:lvlText w:val="■"/>
      <w:lvlJc w:val="left"/>
      <w:pPr>
        <w:ind w:left="2160" w:hanging="360"/>
      </w:pPr>
    </w:lvl>
    <w:lvl w:ilvl="3" w:tplc="4732D3A4">
      <w:start w:val="1"/>
      <w:numFmt w:val="bullet"/>
      <w:lvlText w:val="●"/>
      <w:lvlJc w:val="left"/>
      <w:pPr>
        <w:ind w:left="2880" w:hanging="360"/>
      </w:pPr>
    </w:lvl>
    <w:lvl w:ilvl="4" w:tplc="C7B62976">
      <w:start w:val="1"/>
      <w:numFmt w:val="bullet"/>
      <w:lvlText w:val="○"/>
      <w:lvlJc w:val="left"/>
      <w:pPr>
        <w:ind w:left="3600" w:hanging="360"/>
      </w:pPr>
    </w:lvl>
    <w:lvl w:ilvl="5" w:tplc="E220A610">
      <w:start w:val="1"/>
      <w:numFmt w:val="bullet"/>
      <w:lvlText w:val="■"/>
      <w:lvlJc w:val="left"/>
      <w:pPr>
        <w:ind w:left="4320" w:hanging="360"/>
      </w:pPr>
    </w:lvl>
    <w:lvl w:ilvl="6" w:tplc="3496C34E">
      <w:start w:val="1"/>
      <w:numFmt w:val="bullet"/>
      <w:lvlText w:val="●"/>
      <w:lvlJc w:val="left"/>
      <w:pPr>
        <w:ind w:left="5040" w:hanging="360"/>
      </w:pPr>
    </w:lvl>
    <w:lvl w:ilvl="7" w:tplc="306ACF98">
      <w:start w:val="1"/>
      <w:numFmt w:val="bullet"/>
      <w:lvlText w:val="●"/>
      <w:lvlJc w:val="left"/>
      <w:pPr>
        <w:ind w:left="5760" w:hanging="360"/>
      </w:pPr>
    </w:lvl>
    <w:lvl w:ilvl="8" w:tplc="93803430">
      <w:start w:val="1"/>
      <w:numFmt w:val="bullet"/>
      <w:lvlText w:val="●"/>
      <w:lvlJc w:val="left"/>
      <w:pPr>
        <w:ind w:left="6480" w:hanging="360"/>
      </w:pPr>
    </w:lvl>
  </w:abstractNum>
  <w:abstractNum w:abstractNumId="2" w15:restartNumberingAfterBreak="0">
    <w:nsid w:val="6A2D053F"/>
    <w:multiLevelType w:val="hybridMultilevel"/>
    <w:tmpl w:val="CE04E49A"/>
    <w:lvl w:ilvl="0" w:tplc="8D8E1C1E">
      <w:start w:val="1"/>
      <w:numFmt w:val="decimal"/>
      <w:lvlText w:val="%1"/>
      <w:lvlJc w:val="left"/>
      <w:pPr>
        <w:ind w:left="720" w:hanging="360"/>
      </w:pPr>
    </w:lvl>
    <w:lvl w:ilvl="1" w:tplc="2054C050">
      <w:numFmt w:val="decimal"/>
      <w:lvlText w:val=""/>
      <w:lvlJc w:val="left"/>
    </w:lvl>
    <w:lvl w:ilvl="2" w:tplc="3B0CA3EE">
      <w:numFmt w:val="decimal"/>
      <w:lvlText w:val=""/>
      <w:lvlJc w:val="left"/>
    </w:lvl>
    <w:lvl w:ilvl="3" w:tplc="884C59B4">
      <w:numFmt w:val="decimal"/>
      <w:lvlText w:val=""/>
      <w:lvlJc w:val="left"/>
    </w:lvl>
    <w:lvl w:ilvl="4" w:tplc="DC66DE3A">
      <w:numFmt w:val="decimal"/>
      <w:lvlText w:val=""/>
      <w:lvlJc w:val="left"/>
    </w:lvl>
    <w:lvl w:ilvl="5" w:tplc="003E9AAC">
      <w:numFmt w:val="decimal"/>
      <w:lvlText w:val=""/>
      <w:lvlJc w:val="left"/>
    </w:lvl>
    <w:lvl w:ilvl="6" w:tplc="2F32D5EA">
      <w:numFmt w:val="decimal"/>
      <w:lvlText w:val=""/>
      <w:lvlJc w:val="left"/>
    </w:lvl>
    <w:lvl w:ilvl="7" w:tplc="19E4C766">
      <w:numFmt w:val="decimal"/>
      <w:lvlText w:val=""/>
      <w:lvlJc w:val="left"/>
    </w:lvl>
    <w:lvl w:ilvl="8" w:tplc="2AC411A4">
      <w:numFmt w:val="decimal"/>
      <w:lvlText w:val=""/>
      <w:lvlJc w:val="left"/>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BEF"/>
    <w:rsid w:val="00643401"/>
    <w:rsid w:val="007F1B02"/>
    <w:rsid w:val="00997BE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2209A"/>
  <w15:docId w15:val="{4DBBC28E-BBA3-41E2-82A8-D544EBBCA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qFormat/>
    <w:pPr>
      <w:outlineLvl w:val="0"/>
    </w:pPr>
    <w:rPr>
      <w:color w:val="2E74B5"/>
      <w:sz w:val="32"/>
      <w:szCs w:val="32"/>
    </w:rPr>
  </w:style>
  <w:style w:type="paragraph" w:styleId="Titre2">
    <w:name w:val="heading 2"/>
    <w:qFormat/>
    <w:pPr>
      <w:outlineLvl w:val="1"/>
    </w:pPr>
    <w:rPr>
      <w:color w:val="2E74B5"/>
      <w:sz w:val="26"/>
      <w:szCs w:val="26"/>
    </w:rPr>
  </w:style>
  <w:style w:type="paragraph" w:styleId="Titre3">
    <w:name w:val="heading 3"/>
    <w:qFormat/>
    <w:pPr>
      <w:outlineLvl w:val="2"/>
    </w:pPr>
    <w:rPr>
      <w:color w:val="1F4D78"/>
      <w:sz w:val="24"/>
      <w:szCs w:val="24"/>
    </w:rPr>
  </w:style>
  <w:style w:type="paragraph" w:styleId="Titre4">
    <w:name w:val="heading 4"/>
    <w:qFormat/>
    <w:pPr>
      <w:outlineLvl w:val="3"/>
    </w:pPr>
    <w:rPr>
      <w:i/>
      <w:iCs/>
      <w:color w:val="2E74B5"/>
    </w:rPr>
  </w:style>
  <w:style w:type="paragraph" w:styleId="Titre5">
    <w:name w:val="heading 5"/>
    <w:qFormat/>
    <w:pPr>
      <w:outlineLvl w:val="4"/>
    </w:pPr>
    <w:rPr>
      <w:color w:val="2E74B5"/>
    </w:rPr>
  </w:style>
  <w:style w:type="paragraph" w:styleId="Titre6">
    <w:name w:val="heading 6"/>
    <w:qFormat/>
    <w:pPr>
      <w:outlineLvl w:val="5"/>
    </w:pPr>
    <w:rPr>
      <w:color w:val="1F4D7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qFormat/>
    <w:rPr>
      <w:sz w:val="56"/>
      <w:szCs w:val="56"/>
    </w:rPr>
  </w:style>
  <w:style w:type="paragraph" w:customStyle="1" w:styleId="lev1">
    <w:name w:val="Élevé1"/>
    <w:qFormat/>
    <w:rPr>
      <w:b/>
      <w:bCs/>
    </w:rPr>
  </w:style>
  <w:style w:type="paragraph" w:styleId="Paragraphedeliste">
    <w:name w:val="List Paragraph"/>
    <w:qFormat/>
  </w:style>
  <w:style w:type="character" w:styleId="Lienhypertexte">
    <w:name w:val="Hyperlink"/>
    <w:uiPriority w:val="99"/>
    <w:unhideWhenUsed/>
    <w:rPr>
      <w:color w:val="0563C1"/>
      <w:u w:val="single"/>
    </w:rPr>
  </w:style>
  <w:style w:type="character" w:styleId="Appelnotedebasdep">
    <w:name w:val="footnote reference"/>
    <w:uiPriority w:val="99"/>
    <w:semiHidden/>
    <w:unhideWhenUsed/>
    <w:rPr>
      <w:vertAlign w:val="superscript"/>
    </w:rPr>
  </w:style>
  <w:style w:type="paragraph" w:styleId="Notedebasdepage">
    <w:name w:val="footnote text"/>
    <w:link w:val="NotedebasdepageCar"/>
    <w:uiPriority w:val="99"/>
    <w:semiHidden/>
    <w:unhideWhenUsed/>
    <w:rPr>
      <w:sz w:val="20"/>
      <w:szCs w:val="20"/>
    </w:rPr>
  </w:style>
  <w:style w:type="character" w:customStyle="1" w:styleId="NotedebasdepageCar">
    <w:name w:val="Note de bas de page Car"/>
    <w:link w:val="Notedebasdepage"/>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452</Words>
  <Characters>2486</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Margaux Berthier</cp:lastModifiedBy>
  <cp:revision>2</cp:revision>
  <dcterms:created xsi:type="dcterms:W3CDTF">2026-03-23T16:54:00Z</dcterms:created>
  <dcterms:modified xsi:type="dcterms:W3CDTF">2026-03-23T16:54:00Z</dcterms:modified>
</cp:coreProperties>
</file>